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4E8D246" w14:textId="77777777" w:rsidR="00D51ED0" w:rsidRDefault="00D51ED0" w:rsidP="00BA32A4">
      <w:pPr>
        <w:jc w:val="center"/>
        <w:outlineLvl w:val="0"/>
        <w:rPr>
          <w:rFonts w:ascii="Franklin Gothic Demi" w:hAnsi="Franklin Gothic Demi"/>
          <w:color w:val="00A0AF"/>
          <w:sz w:val="40"/>
          <w:szCs w:val="40"/>
        </w:rPr>
      </w:pPr>
      <w:r w:rsidRPr="00D51ED0">
        <w:rPr>
          <w:rFonts w:ascii="Franklin Gothic Demi" w:hAnsi="Franklin Gothic Demi"/>
          <w:color w:val="00A0AF"/>
          <w:sz w:val="40"/>
          <w:szCs w:val="40"/>
        </w:rPr>
        <w:t>Sample Handling and Assuring the Quality of Test Results</w:t>
      </w:r>
    </w:p>
    <w:p w14:paraId="6DECCCE9" w14:textId="6CFEC56D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293ADC7D" w:rsidR="00F840CC" w:rsidRPr="00F66C91" w:rsidRDefault="00CD6984" w:rsidP="00CD6984">
      <w:pPr>
        <w:rPr>
          <w:b/>
          <w:color w:val="FF0000"/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66C91">
        <w:rPr>
          <w:b/>
          <w:color w:val="FF0000"/>
          <w:sz w:val="20"/>
          <w:szCs w:val="20"/>
        </w:rPr>
        <w:t>[Answers in RED]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634742DA" w:rsidR="00F840CC" w:rsidRPr="00F66C91" w:rsidRDefault="00B73245" w:rsidP="00DF2491">
            <w:pPr>
              <w:pStyle w:val="ListParagraph"/>
              <w:ind w:hanging="102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All samples should have a unique ID</w:t>
            </w:r>
            <w:r w:rsidR="006A7B03" w:rsidRPr="006A7B03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7B6F2E" w:rsidRPr="007B6F2E" w14:paraId="3D278E7F" w14:textId="77777777" w:rsidTr="004859B3">
        <w:tc>
          <w:tcPr>
            <w:tcW w:w="625" w:type="dxa"/>
          </w:tcPr>
          <w:p w14:paraId="5F6EEA82" w14:textId="3E6ADF5B" w:rsidR="00F840CC" w:rsidRPr="007B6F2E" w:rsidRDefault="007A60CC" w:rsidP="00760C68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D88AEFC" w14:textId="63EEB6E0" w:rsidR="006A7B03" w:rsidRPr="00F66C91" w:rsidRDefault="00B73245" w:rsidP="006A7B03">
            <w:pPr>
              <w:pStyle w:val="ListParagraph"/>
              <w:ind w:left="0" w:hanging="12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QC must have predefined criteria</w:t>
            </w:r>
            <w:r w:rsidR="006A7B03" w:rsidRPr="007B6F2E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  <w:p w14:paraId="6170BDA0" w14:textId="46A7BCFB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7B6F2E" w:rsidRPr="007B6F2E" w14:paraId="423D91B2" w14:textId="77777777" w:rsidTr="006A7B03">
        <w:trPr>
          <w:trHeight w:val="513"/>
        </w:trPr>
        <w:tc>
          <w:tcPr>
            <w:tcW w:w="625" w:type="dxa"/>
          </w:tcPr>
          <w:p w14:paraId="2B43A1D4" w14:textId="7493A3FE" w:rsidR="00F840CC" w:rsidRPr="007B6F2E" w:rsidRDefault="007A60CC" w:rsidP="00760C68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0AD76610" w:rsidR="00F840CC" w:rsidRPr="00F66C91" w:rsidRDefault="00B73245" w:rsidP="006A7B03">
            <w:pPr>
              <w:widowControl/>
              <w:rPr>
                <w:color w:val="FF0000"/>
                <w:sz w:val="20"/>
                <w:szCs w:val="20"/>
              </w:rPr>
            </w:pPr>
            <w:r w:rsidRPr="00B73245">
              <w:rPr>
                <w:color w:val="auto"/>
                <w:sz w:val="20"/>
                <w:szCs w:val="20"/>
              </w:rPr>
              <w:t>Once QC fails, you can do nothing about it</w:t>
            </w:r>
            <w:r>
              <w:rPr>
                <w:color w:val="FF0000"/>
                <w:sz w:val="20"/>
                <w:szCs w:val="20"/>
              </w:rPr>
              <w:t xml:space="preserve">. </w:t>
            </w:r>
            <w:r w:rsidRPr="00B73245">
              <w:rPr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7B6F2E" w:rsidRPr="007B6F2E" w14:paraId="586620BC" w14:textId="77777777" w:rsidTr="004859B3">
        <w:tc>
          <w:tcPr>
            <w:tcW w:w="625" w:type="dxa"/>
          </w:tcPr>
          <w:p w14:paraId="1E09FB07" w14:textId="233A24DA" w:rsidR="003A661C" w:rsidRPr="007B6F2E" w:rsidRDefault="003A661C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2C937F58" w:rsidR="003A661C" w:rsidRPr="00F66C91" w:rsidRDefault="00B73245" w:rsidP="00DF2491">
            <w:pPr>
              <w:pStyle w:val="ListParagraph"/>
              <w:ind w:hanging="102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Accrediting bodies require proficiency testing</w:t>
            </w:r>
            <w:r w:rsidR="006A7B03" w:rsidRPr="007B6F2E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7B6F2E" w:rsidRPr="007B6F2E" w14:paraId="4788310C" w14:textId="77777777" w:rsidTr="004859B3">
        <w:tc>
          <w:tcPr>
            <w:tcW w:w="625" w:type="dxa"/>
          </w:tcPr>
          <w:p w14:paraId="34609117" w14:textId="2F1ECB25" w:rsidR="003A661C" w:rsidRPr="007B6F2E" w:rsidRDefault="003A661C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72917FBF" w:rsidR="003A661C" w:rsidRPr="00F66C91" w:rsidRDefault="00B73245" w:rsidP="00DF2491">
            <w:pPr>
              <w:pStyle w:val="ListParagraph"/>
              <w:ind w:hanging="102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Proficiency testing is part of the laboratory’s overall QC plan</w:t>
            </w:r>
            <w:r w:rsidR="006A7B03" w:rsidRPr="007B6F2E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7B6F2E" w:rsidRPr="007B6F2E" w14:paraId="01450DDF" w14:textId="77777777" w:rsidTr="004859B3">
        <w:tc>
          <w:tcPr>
            <w:tcW w:w="625" w:type="dxa"/>
          </w:tcPr>
          <w:p w14:paraId="1A39BDCD" w14:textId="2F315657" w:rsidR="006A7B03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34331CBF" w14:textId="12CA250B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7E28981" w14:textId="6FFBDDE0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8C1E398" w14:textId="3097705C" w:rsidR="006A7B03" w:rsidRPr="00F66C91" w:rsidRDefault="00B73245" w:rsidP="006A7B03">
            <w:pPr>
              <w:pStyle w:val="ListParagraph"/>
              <w:ind w:left="-12" w:firstLine="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Sample handling only is intended to meet the needs of the laboratory, not the customer.</w:t>
            </w:r>
            <w:r w:rsidR="006A7B03" w:rsidRPr="007B6F2E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</w:tbl>
    <w:p w14:paraId="590CE564" w14:textId="77777777" w:rsidR="00F840CC" w:rsidRPr="007B6F2E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5079EB9C" w:rsidR="00F840CC" w:rsidRPr="007B6F2E" w:rsidRDefault="00B73245" w:rsidP="00B73245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Sample handling procedures should include</w:t>
      </w:r>
      <w:r w:rsidR="00D85408" w:rsidRPr="007B6F2E">
        <w:rPr>
          <w:rFonts w:ascii="Franklin Gothic Book" w:hAnsi="Franklin Gothic Book"/>
          <w:sz w:val="20"/>
          <w:szCs w:val="20"/>
        </w:rPr>
        <w:t>:</w:t>
      </w:r>
      <w:r w:rsidR="0057602B" w:rsidRPr="007B6F2E">
        <w:rPr>
          <w:rFonts w:ascii="Franklin Gothic Book" w:hAnsi="Franklin Gothic Book"/>
          <w:sz w:val="20"/>
          <w:szCs w:val="20"/>
        </w:rPr>
        <w:t xml:space="preserve"> </w:t>
      </w:r>
      <w:r w:rsidR="00F66C91" w:rsidRPr="00B73245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66C91" w:rsidRPr="00B73245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616"/>
        <w:gridCol w:w="2518"/>
      </w:tblGrid>
      <w:tr w:rsidR="00A419EF" w:rsidRPr="007B6F2E" w14:paraId="2EDC0D2C" w14:textId="77777777" w:rsidTr="00B01FF1">
        <w:tc>
          <w:tcPr>
            <w:tcW w:w="2517" w:type="dxa"/>
          </w:tcPr>
          <w:p w14:paraId="14D8536F" w14:textId="1B36F8D2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bookmarkStart w:id="0" w:name="_GoBack" w:colFirst="3" w:colLast="3"/>
            <w:r w:rsidRPr="007B6F2E">
              <w:rPr>
                <w:color w:val="auto"/>
                <w:sz w:val="20"/>
                <w:szCs w:val="20"/>
              </w:rPr>
              <w:t>A</w:t>
            </w:r>
            <w:r w:rsidR="007A60CC" w:rsidRPr="007B6F2E">
              <w:rPr>
                <w:color w:val="auto"/>
                <w:sz w:val="20"/>
                <w:szCs w:val="20"/>
              </w:rPr>
              <w:t>.</w:t>
            </w:r>
            <w:r w:rsidR="006A7B03" w:rsidRPr="007B6F2E">
              <w:rPr>
                <w:color w:val="auto"/>
                <w:sz w:val="20"/>
                <w:szCs w:val="20"/>
              </w:rPr>
              <w:t xml:space="preserve"> </w:t>
            </w:r>
            <w:r w:rsidR="00B73245">
              <w:rPr>
                <w:color w:val="auto"/>
                <w:sz w:val="20"/>
                <w:szCs w:val="20"/>
              </w:rPr>
              <w:t>Transportation of samples</w:t>
            </w:r>
          </w:p>
        </w:tc>
        <w:tc>
          <w:tcPr>
            <w:tcW w:w="2517" w:type="dxa"/>
          </w:tcPr>
          <w:p w14:paraId="4A058C29" w14:textId="7416709D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B73245">
              <w:rPr>
                <w:color w:val="auto"/>
                <w:sz w:val="20"/>
                <w:szCs w:val="20"/>
              </w:rPr>
              <w:t>Receipt of sample and disposal of samples</w:t>
            </w:r>
          </w:p>
        </w:tc>
        <w:tc>
          <w:tcPr>
            <w:tcW w:w="2616" w:type="dxa"/>
          </w:tcPr>
          <w:p w14:paraId="51DEDBA2" w14:textId="3C240C84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B73245">
              <w:rPr>
                <w:color w:val="auto"/>
                <w:sz w:val="20"/>
                <w:szCs w:val="20"/>
              </w:rPr>
              <w:t>Storage of the samples</w:t>
            </w:r>
          </w:p>
        </w:tc>
        <w:tc>
          <w:tcPr>
            <w:tcW w:w="2518" w:type="dxa"/>
          </w:tcPr>
          <w:p w14:paraId="6D9CAE6A" w14:textId="0F36D14D" w:rsidR="00A419EF" w:rsidRPr="00812A7F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812A7F">
              <w:rPr>
                <w:color w:val="FF0000"/>
                <w:sz w:val="20"/>
                <w:szCs w:val="20"/>
              </w:rPr>
              <w:t xml:space="preserve">D. </w:t>
            </w:r>
            <w:r w:rsidR="00B73245" w:rsidRPr="00812A7F">
              <w:rPr>
                <w:color w:val="FF0000"/>
                <w:sz w:val="20"/>
                <w:szCs w:val="20"/>
              </w:rPr>
              <w:t>A, B &amp; C</w:t>
            </w:r>
          </w:p>
        </w:tc>
      </w:tr>
      <w:bookmarkEnd w:id="0"/>
    </w:tbl>
    <w:p w14:paraId="316F246D" w14:textId="5BA051A8" w:rsidR="00F840CC" w:rsidRPr="007B6F2E" w:rsidRDefault="00F840CC" w:rsidP="00A419EF">
      <w:pPr>
        <w:rPr>
          <w:color w:val="auto"/>
          <w:sz w:val="20"/>
          <w:szCs w:val="20"/>
        </w:rPr>
      </w:pPr>
    </w:p>
    <w:p w14:paraId="0FD524CB" w14:textId="1DEBD115" w:rsidR="00F840CC" w:rsidRPr="007B6F2E" w:rsidRDefault="00B73245" w:rsidP="00EF137C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Sample receipt should document</w:t>
      </w:r>
      <w:r w:rsidR="00753531" w:rsidRPr="007B6F2E">
        <w:rPr>
          <w:rFonts w:ascii="Franklin Gothic Book" w:hAnsi="Franklin Gothic Book"/>
          <w:sz w:val="20"/>
          <w:szCs w:val="20"/>
        </w:rPr>
        <w:t>:</w:t>
      </w:r>
      <w:r w:rsidR="0057602B" w:rsidRPr="00F66C91">
        <w:rPr>
          <w:rFonts w:ascii="Franklin Gothic Book" w:hAnsi="Franklin Gothic Book"/>
          <w:sz w:val="20"/>
          <w:szCs w:val="20"/>
        </w:rPr>
        <w:t xml:space="preserve"> </w:t>
      </w:r>
      <w:r w:rsidR="00F66C91" w:rsidRPr="00B73245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Pr="00B73245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66C91" w:rsidRPr="00B73245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7B6F2E" w14:paraId="6A0A7DB9" w14:textId="77777777" w:rsidTr="001F4F67">
        <w:tc>
          <w:tcPr>
            <w:tcW w:w="2610" w:type="dxa"/>
          </w:tcPr>
          <w:p w14:paraId="6AA7C5AF" w14:textId="217AD735" w:rsidR="00A419EF" w:rsidRPr="007B6F2E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B73245">
              <w:rPr>
                <w:color w:val="auto"/>
                <w:sz w:val="20"/>
                <w:szCs w:val="20"/>
              </w:rPr>
              <w:t>Departures from specified sample conditions</w:t>
            </w:r>
          </w:p>
        </w:tc>
        <w:tc>
          <w:tcPr>
            <w:tcW w:w="2430" w:type="dxa"/>
          </w:tcPr>
          <w:p w14:paraId="4157C66E" w14:textId="561A7CF9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A419EF" w:rsidRPr="007B6F2E">
              <w:rPr>
                <w:color w:val="auto"/>
                <w:sz w:val="20"/>
                <w:szCs w:val="20"/>
              </w:rPr>
              <w:t xml:space="preserve">. </w:t>
            </w:r>
            <w:r w:rsidR="00B73245">
              <w:rPr>
                <w:color w:val="auto"/>
                <w:sz w:val="20"/>
                <w:szCs w:val="20"/>
              </w:rPr>
              <w:t xml:space="preserve">Discussions with the customer </w:t>
            </w:r>
          </w:p>
        </w:tc>
        <w:tc>
          <w:tcPr>
            <w:tcW w:w="2610" w:type="dxa"/>
          </w:tcPr>
          <w:p w14:paraId="5F644D77" w14:textId="07F3E2D1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A419EF" w:rsidRPr="007B6F2E">
              <w:rPr>
                <w:color w:val="auto"/>
                <w:sz w:val="20"/>
                <w:szCs w:val="20"/>
              </w:rPr>
              <w:t xml:space="preserve">. </w:t>
            </w:r>
            <w:r w:rsidR="00B73245" w:rsidRPr="00B73245">
              <w:rPr>
                <w:color w:val="auto"/>
                <w:sz w:val="20"/>
                <w:szCs w:val="20"/>
              </w:rPr>
              <w:t>Consult</w:t>
            </w:r>
            <w:r w:rsidR="00B73245">
              <w:rPr>
                <w:color w:val="auto"/>
                <w:sz w:val="20"/>
                <w:szCs w:val="20"/>
              </w:rPr>
              <w:t>ations with</w:t>
            </w:r>
            <w:r w:rsidR="00B73245" w:rsidRPr="00B73245">
              <w:rPr>
                <w:color w:val="auto"/>
                <w:sz w:val="20"/>
                <w:szCs w:val="20"/>
              </w:rPr>
              <w:t xml:space="preserve"> the customer if samples </w:t>
            </w:r>
            <w:r w:rsidR="00B73245">
              <w:rPr>
                <w:color w:val="auto"/>
                <w:sz w:val="20"/>
                <w:szCs w:val="20"/>
              </w:rPr>
              <w:t xml:space="preserve">are </w:t>
            </w:r>
            <w:r w:rsidR="00B73245" w:rsidRPr="00B73245">
              <w:rPr>
                <w:color w:val="auto"/>
                <w:sz w:val="20"/>
                <w:szCs w:val="20"/>
              </w:rPr>
              <w:t>not be suitable for testing, do not conform to the description provided, or the requested test is not specified in sufficient detail</w:t>
            </w:r>
          </w:p>
        </w:tc>
        <w:tc>
          <w:tcPr>
            <w:tcW w:w="2155" w:type="dxa"/>
          </w:tcPr>
          <w:p w14:paraId="25FCB077" w14:textId="0B0A45B5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812A7F">
              <w:rPr>
                <w:color w:val="FF0000"/>
                <w:sz w:val="20"/>
                <w:szCs w:val="20"/>
              </w:rPr>
              <w:t>D</w:t>
            </w:r>
            <w:r w:rsidR="00A419EF" w:rsidRPr="00812A7F">
              <w:rPr>
                <w:color w:val="FF0000"/>
                <w:sz w:val="20"/>
                <w:szCs w:val="20"/>
              </w:rPr>
              <w:t>.</w:t>
            </w:r>
            <w:r w:rsidR="00A419EF" w:rsidRPr="00812A7F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B73245" w:rsidRPr="00812A7F">
              <w:rPr>
                <w:b/>
                <w:color w:val="FF0000"/>
                <w:sz w:val="20"/>
                <w:szCs w:val="20"/>
              </w:rPr>
              <w:t>A, B, &amp; C</w:t>
            </w:r>
          </w:p>
        </w:tc>
      </w:tr>
    </w:tbl>
    <w:p w14:paraId="51D4206D" w14:textId="77777777" w:rsidR="00A419EF" w:rsidRPr="007B6F2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61783456" w14:textId="19C0EE18" w:rsidR="00EF137C" w:rsidRPr="007B6F2E" w:rsidRDefault="00B73245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What does QC stand for</w:t>
      </w:r>
      <w:r w:rsidR="00821FAE" w:rsidRPr="007B6F2E">
        <w:rPr>
          <w:rFonts w:ascii="Franklin Gothic Book" w:hAnsi="Franklin Gothic Book"/>
          <w:sz w:val="20"/>
          <w:szCs w:val="20"/>
        </w:rPr>
        <w:t>?</w:t>
      </w:r>
      <w:r w:rsidR="00EF137C" w:rsidRPr="007B6F2E">
        <w:rPr>
          <w:rFonts w:ascii="Franklin Gothic Book" w:hAnsi="Franklin Gothic Book"/>
          <w:sz w:val="20"/>
          <w:szCs w:val="20"/>
        </w:rPr>
        <w:t xml:space="preserve">: </w:t>
      </w:r>
      <w:r w:rsidRPr="00B73245">
        <w:rPr>
          <w:rFonts w:ascii="Franklin Gothic Book" w:hAnsi="Franklin Gothic Book"/>
          <w:b/>
          <w:color w:val="FF0000"/>
          <w:sz w:val="20"/>
          <w:szCs w:val="20"/>
        </w:rPr>
        <w:t>(Answer: C</w:t>
      </w:r>
      <w:r w:rsidR="00F66C91" w:rsidRPr="00B73245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B6F2E" w:rsidRPr="007B6F2E" w14:paraId="2D6647C3" w14:textId="77777777" w:rsidTr="00753531">
        <w:tc>
          <w:tcPr>
            <w:tcW w:w="2517" w:type="dxa"/>
          </w:tcPr>
          <w:p w14:paraId="3EEE3A67" w14:textId="0E0E9685" w:rsidR="007A60CC" w:rsidRPr="007B6F2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254AF2" w:rsidRPr="007B6F2E">
              <w:rPr>
                <w:color w:val="auto"/>
                <w:sz w:val="20"/>
                <w:szCs w:val="20"/>
              </w:rPr>
              <w:t>.</w:t>
            </w:r>
            <w:r w:rsidR="002E551D" w:rsidRPr="007B6F2E">
              <w:rPr>
                <w:color w:val="auto"/>
                <w:sz w:val="20"/>
                <w:szCs w:val="20"/>
              </w:rPr>
              <w:t xml:space="preserve"> </w:t>
            </w:r>
            <w:r w:rsidR="00B73245">
              <w:rPr>
                <w:color w:val="auto"/>
                <w:sz w:val="20"/>
                <w:szCs w:val="20"/>
              </w:rPr>
              <w:t>Quality Competence</w:t>
            </w:r>
            <w:r w:rsidR="00753531" w:rsidRPr="007B6F2E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061A8FEC" w:rsidR="007A60CC" w:rsidRPr="007B6F2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B73245">
              <w:rPr>
                <w:color w:val="auto"/>
                <w:sz w:val="20"/>
                <w:szCs w:val="20"/>
              </w:rPr>
              <w:t>Quality Comprehension</w:t>
            </w:r>
          </w:p>
        </w:tc>
        <w:tc>
          <w:tcPr>
            <w:tcW w:w="2520" w:type="dxa"/>
          </w:tcPr>
          <w:p w14:paraId="382A77FA" w14:textId="04C0A1B5" w:rsidR="007A60CC" w:rsidRPr="007B6F2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812A7F">
              <w:rPr>
                <w:color w:val="FF0000"/>
                <w:sz w:val="20"/>
                <w:szCs w:val="20"/>
              </w:rPr>
              <w:t>C</w:t>
            </w:r>
            <w:r w:rsidR="007A60CC" w:rsidRPr="00812A7F">
              <w:rPr>
                <w:color w:val="FF0000"/>
                <w:sz w:val="20"/>
                <w:szCs w:val="20"/>
              </w:rPr>
              <w:t xml:space="preserve">. </w:t>
            </w:r>
            <w:r w:rsidR="00B73245" w:rsidRPr="00812A7F">
              <w:rPr>
                <w:color w:val="FF0000"/>
                <w:sz w:val="20"/>
                <w:szCs w:val="20"/>
              </w:rPr>
              <w:t>Quality Control</w:t>
            </w:r>
          </w:p>
        </w:tc>
        <w:tc>
          <w:tcPr>
            <w:tcW w:w="2155" w:type="dxa"/>
          </w:tcPr>
          <w:p w14:paraId="7026745C" w14:textId="701E3366" w:rsidR="007A60CC" w:rsidRPr="007B6F2E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D</w:t>
            </w:r>
            <w:r w:rsidR="007A60CC" w:rsidRPr="007B6F2E">
              <w:rPr>
                <w:color w:val="auto"/>
                <w:sz w:val="20"/>
                <w:szCs w:val="20"/>
              </w:rPr>
              <w:t>.</w:t>
            </w:r>
            <w:r w:rsidR="007A60CC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="00B73245">
              <w:rPr>
                <w:b/>
                <w:color w:val="auto"/>
                <w:sz w:val="20"/>
                <w:szCs w:val="20"/>
              </w:rPr>
              <w:t>Quality Criteria</w:t>
            </w:r>
          </w:p>
          <w:p w14:paraId="504976FA" w14:textId="69E0CD07" w:rsidR="00FB24D7" w:rsidRPr="007B6F2E" w:rsidRDefault="00FB24D7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</w:tbl>
    <w:p w14:paraId="773BFFDF" w14:textId="639E26AD" w:rsidR="00821FAE" w:rsidRPr="00B73245" w:rsidRDefault="00B73245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 xml:space="preserve">What should be done when QC fails? </w:t>
      </w:r>
      <w:r w:rsidRPr="00B73245">
        <w:rPr>
          <w:rFonts w:ascii="Franklin Gothic Book" w:hAnsi="Franklin Gothic Book"/>
          <w:b/>
          <w:color w:val="FF0000"/>
          <w:sz w:val="20"/>
          <w:szCs w:val="20"/>
        </w:rPr>
        <w:t>(Answer: D)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9"/>
        <w:gridCol w:w="2520"/>
        <w:gridCol w:w="2520"/>
        <w:gridCol w:w="2517"/>
        <w:gridCol w:w="539"/>
      </w:tblGrid>
      <w:tr w:rsidR="007B6F2E" w:rsidRPr="007B6F2E" w14:paraId="349F919D" w14:textId="77777777" w:rsidTr="003403DE">
        <w:trPr>
          <w:gridAfter w:val="1"/>
          <w:wAfter w:w="539" w:type="dxa"/>
        </w:trPr>
        <w:tc>
          <w:tcPr>
            <w:tcW w:w="2610" w:type="dxa"/>
          </w:tcPr>
          <w:p w14:paraId="2FAD0355" w14:textId="3BE30756" w:rsidR="0002543E" w:rsidRPr="00B73245" w:rsidRDefault="00B73245" w:rsidP="00B73245">
            <w:pPr>
              <w:widowControl/>
              <w:spacing w:after="120"/>
              <w:rPr>
                <w:sz w:val="20"/>
                <w:szCs w:val="20"/>
              </w:rPr>
            </w:pPr>
            <w:r w:rsidRPr="00B73245">
              <w:rPr>
                <w:color w:val="auto"/>
                <w:sz w:val="20"/>
                <w:szCs w:val="20"/>
              </w:rPr>
              <w:t>A.</w:t>
            </w:r>
            <w:r>
              <w:rPr>
                <w:sz w:val="20"/>
                <w:szCs w:val="20"/>
              </w:rPr>
              <w:t xml:space="preserve"> </w:t>
            </w:r>
            <w:r w:rsidR="009C4892">
              <w:rPr>
                <w:sz w:val="20"/>
                <w:szCs w:val="20"/>
              </w:rPr>
              <w:t>Correct the problem</w:t>
            </w:r>
          </w:p>
        </w:tc>
        <w:tc>
          <w:tcPr>
            <w:tcW w:w="2520" w:type="dxa"/>
          </w:tcPr>
          <w:p w14:paraId="1B65AE3F" w14:textId="3588C232" w:rsidR="0002543E" w:rsidRPr="007B6F2E" w:rsidRDefault="009C4892" w:rsidP="001F4F67">
            <w:pPr>
              <w:widowControl/>
              <w:spacing w:after="120"/>
              <w:ind w:left="-108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B. Prevent incorrect results from being reported</w:t>
            </w:r>
          </w:p>
        </w:tc>
        <w:tc>
          <w:tcPr>
            <w:tcW w:w="2518" w:type="dxa"/>
          </w:tcPr>
          <w:p w14:paraId="26DA5C9D" w14:textId="5512054D" w:rsidR="007B6F2E" w:rsidRPr="007B6F2E" w:rsidRDefault="009C4892" w:rsidP="009C489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C. Blame fate</w:t>
            </w:r>
          </w:p>
        </w:tc>
        <w:tc>
          <w:tcPr>
            <w:tcW w:w="2518" w:type="dxa"/>
          </w:tcPr>
          <w:p w14:paraId="221FAF94" w14:textId="4BF0DE59" w:rsidR="0002543E" w:rsidRPr="007B6F2E" w:rsidRDefault="009C4892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C4892">
              <w:rPr>
                <w:b/>
                <w:color w:val="FF0000"/>
                <w:sz w:val="20"/>
                <w:szCs w:val="20"/>
              </w:rPr>
              <w:t>D. A &amp; B</w:t>
            </w:r>
          </w:p>
        </w:tc>
      </w:tr>
      <w:tr w:rsidR="00B01FF1" w:rsidRPr="0002543E" w14:paraId="65BA5D6D" w14:textId="77777777" w:rsidTr="003403DE">
        <w:tc>
          <w:tcPr>
            <w:tcW w:w="2610" w:type="dxa"/>
          </w:tcPr>
          <w:p w14:paraId="5A4292A4" w14:textId="3275D27F" w:rsidR="00B01FF1" w:rsidRPr="00EF137C" w:rsidRDefault="00B01FF1" w:rsidP="003403DE">
            <w:pPr>
              <w:widowControl/>
              <w:spacing w:after="200" w:line="276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70090D1" w14:textId="58C9029B" w:rsidR="00B01FF1" w:rsidRPr="00EF137C" w:rsidRDefault="00B01FF1" w:rsidP="00B01FF1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7BC089B3" w14:textId="54E46379" w:rsidR="00B01FF1" w:rsidRDefault="00B01FF1" w:rsidP="00B01FF1">
            <w:pPr>
              <w:widowControl/>
              <w:spacing w:after="120"/>
              <w:rPr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46F87D3" w14:textId="339ACE2D" w:rsidR="00B01FF1" w:rsidRPr="003526EC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72D48" w14:textId="77777777" w:rsidR="00090781" w:rsidRDefault="00090781" w:rsidP="00380774">
      <w:r>
        <w:separator/>
      </w:r>
    </w:p>
  </w:endnote>
  <w:endnote w:type="continuationSeparator" w:id="0">
    <w:p w14:paraId="122B5B4C" w14:textId="77777777" w:rsidR="00090781" w:rsidRDefault="00090781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A9723" w14:textId="77777777" w:rsidR="00090781" w:rsidRDefault="00090781" w:rsidP="00380774">
      <w:r>
        <w:separator/>
      </w:r>
    </w:p>
  </w:footnote>
  <w:footnote w:type="continuationSeparator" w:id="0">
    <w:p w14:paraId="1D30F358" w14:textId="77777777" w:rsidR="00090781" w:rsidRDefault="00090781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511AD"/>
    <w:multiLevelType w:val="hybridMultilevel"/>
    <w:tmpl w:val="110EBA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6495"/>
    <w:multiLevelType w:val="hybridMultilevel"/>
    <w:tmpl w:val="5B240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D31A15"/>
    <w:multiLevelType w:val="hybridMultilevel"/>
    <w:tmpl w:val="62C6C27E"/>
    <w:lvl w:ilvl="0" w:tplc="96AE213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90781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C29B7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03DE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A7B03"/>
    <w:rsid w:val="006E56B8"/>
    <w:rsid w:val="00733692"/>
    <w:rsid w:val="00740143"/>
    <w:rsid w:val="00742F95"/>
    <w:rsid w:val="00753531"/>
    <w:rsid w:val="00760C68"/>
    <w:rsid w:val="007A60CC"/>
    <w:rsid w:val="007B57D6"/>
    <w:rsid w:val="007B6F2E"/>
    <w:rsid w:val="007E705D"/>
    <w:rsid w:val="007F1637"/>
    <w:rsid w:val="007F52FF"/>
    <w:rsid w:val="00812A7F"/>
    <w:rsid w:val="00812C65"/>
    <w:rsid w:val="00821FAE"/>
    <w:rsid w:val="00825CC4"/>
    <w:rsid w:val="00826E5A"/>
    <w:rsid w:val="00845F93"/>
    <w:rsid w:val="0087734D"/>
    <w:rsid w:val="00890190"/>
    <w:rsid w:val="00891CD4"/>
    <w:rsid w:val="00925629"/>
    <w:rsid w:val="00940780"/>
    <w:rsid w:val="00943B9A"/>
    <w:rsid w:val="00952635"/>
    <w:rsid w:val="009529E7"/>
    <w:rsid w:val="00961282"/>
    <w:rsid w:val="009647B0"/>
    <w:rsid w:val="00970C59"/>
    <w:rsid w:val="00971CEF"/>
    <w:rsid w:val="00994AA6"/>
    <w:rsid w:val="009A6B8B"/>
    <w:rsid w:val="009A7ACE"/>
    <w:rsid w:val="009C4892"/>
    <w:rsid w:val="009C5722"/>
    <w:rsid w:val="009F473C"/>
    <w:rsid w:val="00A23210"/>
    <w:rsid w:val="00A27A94"/>
    <w:rsid w:val="00A419EF"/>
    <w:rsid w:val="00A45E87"/>
    <w:rsid w:val="00A47DFE"/>
    <w:rsid w:val="00A90C10"/>
    <w:rsid w:val="00A9278C"/>
    <w:rsid w:val="00A93F83"/>
    <w:rsid w:val="00AC7E32"/>
    <w:rsid w:val="00AE6913"/>
    <w:rsid w:val="00B01FF1"/>
    <w:rsid w:val="00B23D83"/>
    <w:rsid w:val="00B354FF"/>
    <w:rsid w:val="00B73245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86C77"/>
    <w:rsid w:val="00CA39D6"/>
    <w:rsid w:val="00CB6ED2"/>
    <w:rsid w:val="00CD6984"/>
    <w:rsid w:val="00D14B0B"/>
    <w:rsid w:val="00D31150"/>
    <w:rsid w:val="00D40AA6"/>
    <w:rsid w:val="00D51ED0"/>
    <w:rsid w:val="00D537A0"/>
    <w:rsid w:val="00D630F7"/>
    <w:rsid w:val="00D7631D"/>
    <w:rsid w:val="00D85408"/>
    <w:rsid w:val="00D94BDD"/>
    <w:rsid w:val="00DB62B5"/>
    <w:rsid w:val="00DE7485"/>
    <w:rsid w:val="00DF2491"/>
    <w:rsid w:val="00DF583C"/>
    <w:rsid w:val="00E21A2A"/>
    <w:rsid w:val="00E56FA8"/>
    <w:rsid w:val="00E6443C"/>
    <w:rsid w:val="00EA1EB0"/>
    <w:rsid w:val="00EF137C"/>
    <w:rsid w:val="00F262EC"/>
    <w:rsid w:val="00F57E3F"/>
    <w:rsid w:val="00F66C91"/>
    <w:rsid w:val="00F67F54"/>
    <w:rsid w:val="00F82F09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Q77AU6S3KYZS-4287-189</_dlc_DocId>
    <_dlc_DocIdUrl xmlns="5af08be3-da31-4ed0-bd15-c2f68cc29029">
      <Url>https://www.aphlweb.org/aphl_departments/FS/dfsr/iso17025/_layouts/15/DocIdRedir.aspx?ID=Q77AU6S3KYZS-4287-189</Url>
      <Description>Q77AU6S3KYZS-4287-189</Description>
    </_dlc_DocIdUrl>
    <Module xmlns="fa1fb52d-8fe2-4f49-9882-b9b989e07643">07. Sample Handling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Yvonne</cp:lastModifiedBy>
  <cp:revision>6</cp:revision>
  <cp:lastPrinted>2016-11-30T15:45:00Z</cp:lastPrinted>
  <dcterms:created xsi:type="dcterms:W3CDTF">2017-04-07T22:26:00Z</dcterms:created>
  <dcterms:modified xsi:type="dcterms:W3CDTF">2017-04-07T22:39:00Z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9ab3d6aa-a630-499a-95ce-b85e86599439</vt:lpwstr>
  </property>
</Properties>
</file>